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7d3d" w14:textId="bfe7d3d">
      <w:pPr>
        <w:pStyle w:val="TitleStyle"/>
        <w15:collapsed w:val="false"/>
      </w:pPr>
      <w:r>
        <w:t>Obowiązkowe ubezpieczenie odpowiedzialności cywilnej podmiotu wykonującego działalność leczniczą.</w:t>
      </w:r>
    </w:p>
    <w:p>
      <w:pPr>
        <w:pStyle w:val="NormalStyle"/>
      </w:pPr>
      <w:r>
        <w:t>Dz.U.2019.866 z dnia 2019.05.10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10 maja 2019r.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czerwca 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FINANSÓW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29 kwietnia 2019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obowiązkowego ubezpieczenia odpowiedzialności cywilnej podmiotu wykonującego działalność leczniczą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działalności leczniczej (Dz. U. z 2018 r. poz. 2190 i 2219 oraz z 2019 r. poz. 492 i 730)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 szczegółowy zakres obowiązkowego ubezpieczenia odpowiedzialności cywilnej podmiotu wykonującego działalność leczniczą za szkody będące następstwem udzielania świadczeń zdrowotnych albo niezgodnego z prawem zaniechania udzielania świadczeń zdrowotnych, zwanego dalej "ubezpieczeniem OC", oraz minimalną sumę gwarancyjną tego ubezpieczenia.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Ubezpieczeniem OC jest objęta odpowiedzialność cywilna podmiotu wykonującego działalność leczniczą na terytorium Rzeczypospolitej Polskiej za szkody, o których mowa w § 1, wyrządzone działaniem lub zaniechaniem ubezpieczonego, które miało miejsce w okresie trwania ochrony ubezpieczeniowej.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Ubezpieczenie OC nie obejmuje szkód: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wyrządzonych przez podmiot wykonujący działalność leczniczą po pozbawieniu lub w okresie zawieszenia prawa do prowadzenia działalności leczniczej;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polegających na uszkodzeniu, zniszczeniu lub utracie rzeczy;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polegających na zapłacie kar umownych;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powstałych wskutek działań wojennych, stanu wojennego, rozruchów i zamieszek, a także aktów terroru.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Ubezpieczenie OC obejmuje szkody będące następstwem zabiegów chirurgii plastycznej lub zabiegów kosmetycznych, jeśli są udzielane w przypadkach będących następstwem wady wrodzonej, urazu, choroby lub następstwem jej leczenia.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Ubezpieczenie OC obejmuje wszystkie szkody w zakresie, o którym mowa w ust. 1, z zastrzeżeniem ust. 2 i 3, bez możliwości umownego ograniczenia odpowiedzialności zakładu ubezpieczeń.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Minimalna suma gwarancyjna ubezpieczenia OC, w okresie ubezpieczenia nie dłuższym niż 12 miesięcy, wynosi równowartość w złotych: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100 000 euro w odniesieniu do jednego zdarzenia oraz 500 000 euro w odniesieniu do wszystkich zdarzeń, których skutki są objęte umową ubezpieczenia OC podmiotu leczniczego,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działalności leczniczej, zwanej dalej "ustawą", wykonującego działalność leczniczą,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75 000 euro w odniesieniu do jednego zdarzenia oraz 350 000 euro w odniesieniu do wszystkich zdarzeń, których skutki są objęte umową ubezpieczenia OC podmiotu leczniczego,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wykonującego działalność leczniczą,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75 000 euro w odniesieniu do jednego zdarzenia oraz 350 000 euro w odniesieniu do wszystkich zdarzeń, których skutki są objęte umową ubezpieczenia OC lekarza wykonującego działalność leczniczą w formie jednoosobowej działalności gospodarczej jako indywidualna praktyka lekarska, indywidualna praktyka lekarska wyłącznie w miejscu wezwania, indywidualna specjalistyczna praktyka lekarska, indywidualna specjalistyczna praktyka lekarska wyłącznie w miejscu wezwania, indywidualna praktyka lekarska wyłącznie w zakładzie leczniczym na podstawie umowy z podmiotem leczniczym prowadzącym ten zakład lub indywidualna specjalistyczna praktyka lekarska wyłącznie w zakładzie leczniczym na podstawie umowy z podmiotem leczniczym prowadzącym ten zakład;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75 000 euro w odniesieniu do jednego zdarzenia oraz 350 000 euro w odniesieniu do wszystkich zdarzeń, których skutki są objęte umową ubezpieczenia OC lekarza wykonującego działalność leczniczą w formie spółki cywilnej, spółki jawnej albo spółki partnerskiej jako grupowa praktyka lekarska;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30 000 euro w odniesieniu do jednego zdarzenia oraz 150 000 euro w odniesieniu do wszystkich zdarzeń, których skutki są objęte umową ubezpieczenia OC pielęgniarki wykonującej działalność leczniczą w formie jednoosobowej działalności gospodarczej jako indywidualna praktyka pielęgniarki, indywidualna praktyka pielęgniarki wyłącznie w miejscu wezwania, indywidualna specjalistyczna praktyka pielęgniarki, indywidualna specjalistyczna praktyka pielęgniarki wyłącznie w miejscu wezwania, indywidualna praktyka pielęgniarki wyłącznie w zakładzie leczniczym na podstawie umowy z podmiotem leczniczym prowadzącym ten zakład lub indywidualna specjalistyczna praktyka pielęgniarki wyłącznie w zakładzie leczniczym na podstawie umowy z podmiotem leczniczym prowadzącym ten zakład;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30 000 euro w odniesieniu do jednego zdarzenia oraz 150 000 euro w odniesieniu do wszystkich zdarzeń, których skutki są objęte umową ubezpieczenia OC pielęgniarki wykonującej działalność leczniczą w formie spółki cywilnej, spółki jawnej albo spółki partnerskiej jako grupowa praktyka pielęgniarek;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30 000 euro w odniesieniu do jednego zdarzenia oraz 150 000 euro w odniesieniu do wszystkich zdarzeń, których skutki są objęte umową ubezpieczenia OC fizjoterapeuty wykonującego działalność leczniczą w formie jednoosobowej działalności gospodarczej jako indywidualna praktyka fizjoterapeutyczna, indywidualna praktyka fizjoterapeutyczna wyłącznie w miejscu wezwania, indywidualna praktyka fizjoterapeutyczna wyłącznie w zakładzie leczniczym na podstawie umowy z podmiotem leczniczym prowadzącym ten zakład;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30 000 euro w odniesieniu do jednego zdarzenia oraz 150 000 euro w odniesieniu do wszystkich zdarzeń, których skutki są objęte umową ubezpieczenia OC fizjoterapeuty wykonującego działalność leczniczą w formie spółki cywilnej, spółki jawnej albo spółki partnerskiej jako grupowa praktyka fizjoterapeutyczna.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dany podmiot wykonujący działalność leczniczą wykonuje więcej niż jeden rodzaj działalności leczniczej albo wykonuje działalność leczniczą w więcej niż jednej formie, wysokość minimalnej sumy gwarancyjnej ubezpieczenia OC tego podmiotu stanowi równowartość najwyższej minimalnej sumy gwarancyjnej określonej dla wykonywanych rodzajów działalności leczniczej albo form wykonywanej działalności leczniczej.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Kwoty, o których mowa w ust. 1, są ustalane przy zastosowaniu średniego kursu euro ogłoszonego przez Narodowy Bank Polski po raz pierwszy w roku, w którym umowa ubezpieczenia OC zostaje zawarta.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czerwca 2019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Finansów kieruje działem administracji rządowej - instytucje finansowe,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10 stycznia 2018 r. w sprawie szczegółowego zakresu działania Ministra Finansów (Dz. U. poz. 92).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Finansów z dnia 22 grudnia 2011 r. w sprawie obowiązkowego ubezpieczenia odpowiedzialności cywilnej podmiotu wykonującego działalność leczniczą (Dz. U. poz. 1729), które traci moc z dniem wejścia w życie niniejszego rozporządzenia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9 listopada 2018 r. o zmianie ustawy o działalności leczniczej oraz niektórych innych ustaw (Dz. U. poz. 2219).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